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7. ФИНАНСОВЫЕ РИСКИ (ЧАСТЬ 1): РЫНОЧНЫЙ И КРЕДИТНЫЙ РИСКИ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Введение: Сущность финансовых рисков в корпоративном управлении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соответствии с классификацией, рассмотренной во 2-й лекции,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финансовые риски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занимают центральное место в системе корпоративного управления любой коммерческой организации. В отличие от операционных сбоев или стратегических ошибок, финансовые риски обладают высокой степенью квантифицируемости — они напрямую выражаются в денежных единицах, отражаются в бухгалтерской отчетности и поддаются строгому математическому и статистическому моделированию.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Управление финансовыми рисками входит в зону ответственности Финансового директора (CFO), Казначейства и департамента риск-менеджмента. В данной лекции мы подробно разберем две ключевые составляющие финансовых рисков: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рыночный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(включая концепцию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Value at Risk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кредитный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(включая оценку кредитоспособности контрагентов).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Рыночный риск (Market Risk)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Рыночный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риск возникновения финансовых потерь (убытков) у компании вследствие неблагоприятного изменения рыночных цен, котировок, процентных ставок, валютных курсов или цен на сырьевые товары.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           СТРУКТУРА РЫНОЧНЫХ РИСКОВ</w:t>
        <w:br w:type="textWrapping"/>
        <w:t xml:space="preserve">                                                |</w:t>
        <w:br w:type="textWrapping"/>
        <w:t xml:space="preserve">         +-----------------------+--------------+--------------+-----------------------+</w:t>
        <w:br w:type="textWrapping"/>
        <w:t xml:space="preserve">         |                       |                             |                       |</w:t>
        <w:br w:type="textWrapping"/>
        <w:t xml:space="preserve">         v                       v                             v                       v</w:t>
        <w:br w:type="textWrapping"/>
        <w:t xml:space="preserve">   Валютный риск           Процентный риск               Товарный риск           Фондовый риск</w:t>
        <w:br w:type="textWrapping"/>
        <w:t xml:space="preserve"> • Колебания курсов        • Изменение ключевой          • Скачки цен на сырье   • Падение цен</w:t>
        <w:br w:type="textWrapping"/>
        <w:t xml:space="preserve">   импорт/экспорт            ставки ЦБ                     (нефть, металлы,        долевых ценных</w:t>
        <w:br w:type="textWrapping"/>
        <w:t xml:space="preserve"> • Переоценка валютных     • Удорожание плавающих        зерно)                  бумаг компании</w:t>
        <w:br w:type="textWrapping"/>
        <w:t xml:space="preserve">   активов/обязательств      кредитов                      • Влияние на себестои-</w:t>
        <w:br w:type="textWrapping"/>
        <w:t xml:space="preserve">                                                           мость производства</w:t>
        <w:br w:type="textWrapping"/>
      </w:r>
    </w:p>
    <w:p w:rsidR="00000000" w:rsidDel="00000000" w:rsidP="00000000" w:rsidRDefault="00000000" w:rsidRPr="00000000" w14:paraId="0000000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2.1. Основные составляющие рыночного риска: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Валютный риск (Foreign Exchange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убытков из-за изменения обменных курсов валют. Критичен для компаний, ведущих внешнеэкономическую деятельность (импортеров, экспортеров, заемщиков в иностранной валюте).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Процентный риск (Interest Rate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изменения рыночных процентных ставок. Приводит к росту стоимости обслуживания заемного капитала с плавающей ставкой или снижению рыночной стоимости фиксированных долговых инструментов (облигаций).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Товарный риск (Commodity Price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колебания цен на сырьевые товары, энергоносители и материалы, необходимые для операционной деятельности.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Фондовый риск (Equity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изменения рыночной стоимости ценных бумаг (акций, паев), находящихся в портфеле компании.</w:t>
      </w:r>
    </w:p>
    <w:p w:rsidR="00000000" w:rsidDel="00000000" w:rsidP="00000000" w:rsidRDefault="00000000" w:rsidRPr="00000000" w14:paraId="0000001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Концепция Value at Risk (VaR) как стандарт измерения рыночного риска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Золотым стандартом измерения рыночного риска в мировой практике является концепция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Value at Risk (VaR)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разработанная в начале 1990-х годов банком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J.P. Morgan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Value at Risk (VaR)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статистическая оценка максимальной величины потенциального убытка по портфелю активов (или компании в целом), которая не будет превышена с заданным уровнем доверия (</w:t>
      </w:r>
      <m:oMath>
        <m:r>
          <w:rPr>
            <w:rFonts w:ascii="Google Sans" w:cs="Google Sans" w:eastAsia="Google Sans" w:hAnsi="Google Sans"/>
            <w:color w:val="1f1f1f"/>
          </w:rPr>
          <m:t xml:space="preserve">1-</m:t>
        </m:r>
        <m:r>
          <w:rPr>
            <w:rFonts w:ascii="Google Sans" w:cs="Google Sans" w:eastAsia="Google Sans" w:hAnsi="Google Sans"/>
            <w:color w:val="1f1f1f"/>
          </w:rPr>
          <m:t>α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за определенный временной горизонт (</w:t>
      </w:r>
      <m:oMath>
        <m:r>
          <w:rPr>
            <w:rFonts w:ascii="Google Sans" w:cs="Google Sans" w:eastAsia="Google Sans" w:hAnsi="Google Sans"/>
            <w:color w:val="1f1f1f"/>
          </w:rPr>
          <m:t xml:space="preserve">T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1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3.1. Ключевые параметры VaR: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Временной горизонт (</w:t>
      </w:r>
      <m:oMath>
        <m:r>
          <w:rPr>
            <w:rFonts w:ascii="Google Sans" w:cs="Google Sans" w:eastAsia="Google Sans" w:hAnsi="Google Sans"/>
            <w:b w:val="1"/>
            <w:bCs w:val="1"/>
            <w:color w:val="1f1f1f"/>
          </w:rPr>
          <m:t xml:space="preserve">T</m:t>
        </m:r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Период, за который оценивается риск (обычно 1 день, 10 дней или 1 год).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Уровень доверия (Confidence Level, </w:t>
      </w:r>
      <m:oMath>
        <m:r>
          <w:rPr>
            <w:rFonts w:ascii="Google Sans" w:cs="Google Sans" w:eastAsia="Google Sans" w:hAnsi="Google Sans"/>
            <w:b w:val="1"/>
            <w:bCs w:val="1"/>
            <w:color w:val="1f1f1f"/>
          </w:rPr>
          <m:t xml:space="preserve">1-</m:t>
        </m:r>
        <m:r>
          <w:rPr>
            <w:rFonts w:ascii="Google Sans" w:cs="Google Sans" w:eastAsia="Google Sans" w:hAnsi="Google Sans"/>
            <w:b w:val="1"/>
            <w:bCs w:val="1"/>
            <w:color w:val="1f1f1f"/>
          </w:rPr>
          <m:t>α</m:t>
        </m:r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Вероятность того, что убыток не превысит рассчитанное значение VaR (стандартные значения: $95\%$ или $99\%$).</w:t>
      </w:r>
    </w:p>
    <w:p w:rsidR="00000000" w:rsidDel="00000000" w:rsidP="00000000" w:rsidRDefault="00000000" w:rsidRPr="00000000" w14:paraId="0000001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3.2. Математическая интерпретация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Если расчеты показывают, что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дневной VaR портфеля составляет $1 млн при уровне доверия $99\%$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это означает следующее: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«С вероятностью $99\%$ в течение следующего торгового дня убытки портфеля не превысят $1 млн».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Или, эквивалентно: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«Лишь в $1\%$ случаев (примерно 2–3 дня в году) убытки могут превысить $1 млн».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Плотность распределения убытков/доходов</w:t>
        <w:br w:type="textWrapping"/>
        <w:t xml:space="preserve">  ^</w:t>
        <w:br w:type="textWrapping"/>
        <w:t xml:space="preserve">  |          Распределение доходности портфеля</w:t>
        <w:br w:type="textWrapping"/>
        <w:t xml:space="preserve">  |                    .-'""'-.</w:t>
        <w:br w:type="textWrapping"/>
        <w:t xml:space="preserve">  |                 .-'        '-.</w:t>
        <w:br w:type="textWrapping"/>
        <w:t xml:space="preserve">  |             .--'              '--.</w:t>
        <w:br w:type="textWrapping"/>
        <w:t xml:space="preserve">  |         ---'                      '---</w:t>
        <w:br w:type="textWrapping"/>
        <w:t xml:space="preserve">  |  ________|____________________________|________</w:t>
        <w:br w:type="textWrapping"/>
        <w:t xml:space="preserve">  |  (1% зона)                            (Среднее)</w:t>
        <w:br w:type="textWrapping"/>
        <w:t xml:space="preserve">  +----|-------------------------------------------&gt;</w:t>
        <w:br w:type="textWrapping"/>
        <w:t xml:space="preserve">     VaR ($1 млн)                              Финансовый результат</w:t>
        <w:br w:type="textWrapping"/>
      </w:r>
    </w:p>
    <w:p w:rsidR="00000000" w:rsidDel="00000000" w:rsidP="00000000" w:rsidRDefault="00000000" w:rsidRPr="00000000" w14:paraId="0000001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3.3. Базовые методы расчета VaR: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Исторический метод (Historical Simulation):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Портфель переоценивается на основе реальных исторических изменений рыночных цен за прошедший период (например, за последние 500 дней). Самый простой, но опирается на допущение, что прошлое повторится в будущем.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Параметрический метод (Variance-Covariance):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Предполагает, что доходности активов подчиняются нормальному распределению. Рассчитывается через математическое ожидание и стандартное отклонение (</w:t>
      </w:r>
      <m:oMath>
        <m:r>
          <m:t>σ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jc w:val="center"/>
        <w:rPr>
          <w:rFonts w:ascii="Google Sans" w:cs="Google Sans" w:eastAsia="Google Sans" w:hAnsi="Google Sans"/>
          <w:color w:val="1f1f1f"/>
        </w:rPr>
      </w:pPr>
      <m:oMath>
        <m:r>
          <w:rPr>
            <w:rFonts w:ascii="Google Sans" w:cs="Google Sans" w:eastAsia="Google Sans" w:hAnsi="Google Sans"/>
            <w:color w:val="1f1f1f"/>
          </w:rPr>
          <m:t xml:space="preserve">VaR=W</m:t>
        </m:r>
        <m:r>
          <w:rPr>
            <w:rFonts w:ascii="Google Sans" w:cs="Google Sans" w:eastAsia="Google Sans" w:hAnsi="Google Sans"/>
            <w:color w:val="1f1f1f"/>
          </w:rPr>
          <m:t>⋅</m:t>
        </m:r>
        <m:r>
          <w:rPr>
            <w:rFonts w:ascii="Google Sans" w:cs="Google Sans" w:eastAsia="Google Sans" w:hAnsi="Google Sans"/>
            <w:color w:val="1f1f1f"/>
          </w:rPr>
          <m:t xml:space="preserve">(</m:t>
        </m:r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z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>α</m:t>
            </m:r>
          </m:sub>
        </m:sSub>
        <m:r>
          <w:rPr>
            <w:rFonts w:ascii="Google Sans" w:cs="Google Sans" w:eastAsia="Google Sans" w:hAnsi="Google Sans"/>
            <w:color w:val="1f1f1f"/>
          </w:rPr>
          <m:t>⋅</m:t>
        </m:r>
        <m:r>
          <w:rPr>
            <w:rFonts w:ascii="Google Sans" w:cs="Google Sans" w:eastAsia="Google Sans" w:hAnsi="Google Sans"/>
            <w:color w:val="1f1f1f"/>
          </w:rPr>
          <m:t>σ</m:t>
        </m:r>
        <m:r>
          <w:rPr>
            <w:rFonts w:ascii="Google Sans" w:cs="Google Sans" w:eastAsia="Google Sans" w:hAnsi="Google Sans"/>
            <w:color w:val="1f1f1f"/>
          </w:rPr>
          <m:t>⋅</m:t>
        </m:r>
        <m:rad>
          <m:radPr>
            <m:degHide m:val="1"/>
            <m:ctrlPr>
              <w:rPr>
                <w:rFonts w:ascii="Google Sans" w:cs="Google Sans" w:eastAsia="Google Sans" w:hAnsi="Google Sans"/>
                <w:color w:val="1f1f1f"/>
              </w:rPr>
            </m:ctrlPr>
          </m:rad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T</m:t>
            </m:r>
          </m:e>
        </m:rad>
        <m:r>
          <w:rPr>
            <w:rFonts w:ascii="Google Sans" w:cs="Google Sans" w:eastAsia="Google Sans" w:hAnsi="Google Sans"/>
            <w:color w:val="1f1f1f"/>
          </w:rPr>
          <m:t xml:space="preserve">-</m:t>
        </m:r>
        <m:r>
          <w:rPr>
            <w:rFonts w:ascii="Google Sans" w:cs="Google Sans" w:eastAsia="Google Sans" w:hAnsi="Google Sans"/>
            <w:color w:val="1f1f1f"/>
          </w:rPr>
          <m:t>μ</m:t>
        </m:r>
        <m:r>
          <w:rPr>
            <w:rFonts w:ascii="Google Sans" w:cs="Google Sans" w:eastAsia="Google Sans" w:hAnsi="Google Sans"/>
            <w:color w:val="1f1f1f"/>
          </w:rPr>
          <m:t>⋅</m:t>
        </m:r>
        <m:r>
          <w:rPr>
            <w:rFonts w:ascii="Google Sans" w:cs="Google Sans" w:eastAsia="Google Sans" w:hAnsi="Google Sans"/>
            <w:color w:val="1f1f1f"/>
          </w:rPr>
          <m:t xml:space="preserve">T)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где </w:t>
      </w:r>
      <m:oMath>
        <m:r>
          <w:rPr>
            <w:rFonts w:ascii="Google Sans" w:cs="Google Sans" w:eastAsia="Google Sans" w:hAnsi="Google Sans"/>
            <w:color w:val="1f1f1f"/>
          </w:rPr>
          <m:t xml:space="preserve">W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стоимость портфеля, </w:t>
      </w: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z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>α</m:t>
            </m:r>
          </m:sub>
        </m:sSub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коэффициент квантиля нормального распределения (для $95\% \to 1.65$, для $99\% \to 2.33$).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Метод Монте-Карло (Monte Carlo Simulation):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Многократная (тысячи раз) генерация случайных сценариев изменения цен на основе заданных стохастических процессов (рассмотрено в Лекции 6).</w:t>
      </w:r>
    </w:p>
    <w:p w:rsidR="00000000" w:rsidDel="00000000" w:rsidP="00000000" w:rsidRDefault="00000000" w:rsidRPr="00000000" w14:paraId="0000002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Кредитный риск (Credit Risk)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Кредитный риск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риск того, что контрагент, заемщик или эмитент ценных бумаг окажется неспособным выполнить свои финансовые обязательства (полностью или частично) в установленный срок.</w:t>
      </w:r>
    </w:p>
    <w:p w:rsidR="00000000" w:rsidDel="00000000" w:rsidP="00000000" w:rsidRDefault="00000000" w:rsidRPr="00000000" w14:paraId="0000002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4.1. Формы проявления кредитного риска: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Дефолт заемщика: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Полный отказ или юридическая невозможность выплатить основной долг и проценты по кредиту или облигационному займу.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Просрочка (Delinquency):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Задержка платежей по графику обслуживания долга, приводящая к кассовым разрывам.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 контрагента (Counterparty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Риск неисполнения обязательств по торговым контрактам (например, поставка оплаченного товара не была осуществлена).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 снижения кредитного рейтинга (Migration Risk):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Ухудшение финансовой устойчивости контрагента, ведущее к падению рыночной стоимости его долговых обязательств.</w:t>
      </w:r>
    </w:p>
    <w:p w:rsidR="00000000" w:rsidDel="00000000" w:rsidP="00000000" w:rsidRDefault="00000000" w:rsidRPr="00000000" w14:paraId="0000002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Методы оценки и управления кредитным риском</w:t>
      </w:r>
    </w:p>
    <w:p w:rsidR="00000000" w:rsidDel="00000000" w:rsidP="00000000" w:rsidRDefault="00000000" w:rsidRPr="00000000" w14:paraId="0000002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5.1. Анализ финансовой устойчивости заемщика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Традиционный метод оценки кредитоспособности юридических лиц опирается на глубокий финансовый анализ бухгалтерской отчетности: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Коэффициенты ликвидности: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Оценка способности покрывать краткосрочные обязательства за счет текущих активов.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Коэффициенты финансового рычага (левериджа):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Соотношение собственного и заемного капитала (</w:t>
      </w:r>
      <m:oMath>
        <m:r>
          <w:rPr>
            <w:rFonts w:ascii="Google Sans" w:cs="Google Sans" w:eastAsia="Google Sans" w:hAnsi="Google Sans"/>
            <w:color w:val="1f1f1f"/>
          </w:rPr>
          <m:t xml:space="preserve">Debt/Equity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Показатели рентабельности и оборачиваемости.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Коэффициент покрытия обслуживания долга (DSCR — Debt Service Coverage Ratio):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firstLine="0"/>
        <w:jc w:val="center"/>
        <w:rPr>
          <w:rFonts w:ascii="Google Sans" w:cs="Google Sans" w:eastAsia="Google Sans" w:hAnsi="Google Sans"/>
          <w:color w:val="1f1f1f"/>
        </w:rPr>
      </w:pPr>
      <m:oMath>
        <m:r>
          <w:rPr>
            <w:rFonts w:ascii="Google Sans" w:cs="Google Sans" w:eastAsia="Google Sans" w:hAnsi="Google Sans"/>
            <w:color w:val="1f1f1f"/>
          </w:rPr>
          <m:t xml:space="preserve">DSCR=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 xml:space="preserve">Операционныйдоходдовыплатыпроцентовиналогов(EBIT)</m:t>
            </m:r>
          </m:num>
          <m:den>
            <m:r>
              <w:rPr>
                <w:rFonts w:ascii="Google Sans" w:cs="Google Sans" w:eastAsia="Google Sans" w:hAnsi="Google Sans"/>
                <w:color w:val="1f1f1f"/>
              </w:rPr>
              <m:t xml:space="preserve">Суммавыплатыосновногодолгаипроцентов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Если </w:t>
      </w:r>
      <m:oMath>
        <m:r>
          <w:rPr>
            <w:rFonts w:ascii="Google Sans" w:cs="Google Sans" w:eastAsia="Google Sans" w:hAnsi="Google Sans"/>
            <w:color w:val="1f1f1f"/>
          </w:rPr>
          <m:t xml:space="preserve">DSCR&lt;1.0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у компании не хватает операционного денежного потока на обслуживание кредита.</w:t>
      </w:r>
    </w:p>
    <w:p w:rsidR="00000000" w:rsidDel="00000000" w:rsidP="00000000" w:rsidRDefault="00000000" w:rsidRPr="00000000" w14:paraId="0000003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5.2. Скоринговые модели и кредитные рейтинги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массовой оценки заемщиков (розничные кредиты, малый бизнес) применяются автоматизированные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скоринговые карты (Credit Scoring)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присваивающие клиенту баллы на основе статистических параметров.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крупных корпораций и суверенных заемщиков используются рейтинги международных агентств (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Standard &amp; Poor's, Moody's, Fitch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), где шкала делится на инвестиционную категорию (от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AAA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до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BBB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 и спекулятивную / «мусорную» категорию (от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BB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ниже).</w:t>
      </w:r>
    </w:p>
    <w:p w:rsidR="00000000" w:rsidDel="00000000" w:rsidP="00000000" w:rsidRDefault="00000000" w:rsidRPr="00000000" w14:paraId="0000003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5.3. Классическая модель Альтмана (Z-счет)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прогнозирования вероятности банкротства предприятия американский экономист Эдвард Альтман разработал интегральный показатель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Z-счет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 Для публичных компаний формула выглядит следующим образом: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Google Sans" w:cs="Google Sans" w:eastAsia="Google Sans" w:hAnsi="Google Sans"/>
          <w:color w:val="1f1f1f"/>
        </w:rPr>
      </w:pPr>
      <m:oMath>
        <m:r>
          <w:rPr>
            <w:rFonts w:ascii="Google Sans" w:cs="Google Sans" w:eastAsia="Google Sans" w:hAnsi="Google Sans"/>
            <w:color w:val="1f1f1f"/>
          </w:rPr>
          <m:t xml:space="preserve">Z=1.2</m:t>
        </m:r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1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+1.4</m:t>
        </m:r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2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+3.3</m:t>
        </m:r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3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+0.6</m:t>
        </m:r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4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+0.999</m:t>
        </m:r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5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где: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1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=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 xml:space="preserve">Чистыйоборотныйкапитал</m:t>
            </m:r>
          </m:num>
          <m:den>
            <m:r>
              <w:rPr>
                <w:rFonts w:ascii="Google Sans" w:cs="Google Sans" w:eastAsia="Google Sans" w:hAnsi="Google Sans"/>
                <w:color w:val="1f1f1f"/>
              </w:rPr>
              <m:t xml:space="preserve">Совокупныеактивы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2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=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 xml:space="preserve">Нераспределеннаяприбыль</m:t>
            </m:r>
          </m:num>
          <m:den>
            <m:r>
              <w:rPr>
                <w:rFonts w:ascii="Google Sans" w:cs="Google Sans" w:eastAsia="Google Sans" w:hAnsi="Google Sans"/>
                <w:color w:val="1f1f1f"/>
              </w:rPr>
              <m:t xml:space="preserve">Совокупныеактивы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3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=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 xml:space="preserve">EBIT</m:t>
            </m:r>
          </m:num>
          <m:den>
            <m:r>
              <w:rPr>
                <w:rFonts w:ascii="Google Sans" w:cs="Google Sans" w:eastAsia="Google Sans" w:hAnsi="Google Sans"/>
                <w:color w:val="1f1f1f"/>
              </w:rPr>
              <m:t xml:space="preserve">Совокупныеактивы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4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=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 xml:space="preserve">Рыночнаястоимостьакционерногокапитала</m:t>
            </m:r>
          </m:num>
          <m:den>
            <m:r>
              <w:rPr>
                <w:rFonts w:ascii="Google Sans" w:cs="Google Sans" w:eastAsia="Google Sans" w:hAnsi="Google Sans"/>
                <w:color w:val="1f1f1f"/>
              </w:rPr>
              <m:t xml:space="preserve">Совокупнаябалансоваястоимостьобязательств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X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5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=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 xml:space="preserve">Выручка</m:t>
            </m:r>
          </m:num>
          <m:den>
            <m:r>
              <w:rPr>
                <w:rFonts w:ascii="Google Sans" w:cs="Google Sans" w:eastAsia="Google Sans" w:hAnsi="Google Sans"/>
                <w:color w:val="1f1f1f"/>
              </w:rPr>
              <m:t xml:space="preserve">Совокупныеактивы</m:t>
            </m:r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Интерпретация значений:</w:t>
      </w:r>
    </w:p>
    <w:p w:rsidR="00000000" w:rsidDel="00000000" w:rsidP="00000000" w:rsidRDefault="00000000" w:rsidRPr="00000000" w14:paraId="00000044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m:oMath>
        <m:r>
          <w:rPr>
            <w:rFonts w:ascii="Google Sans" w:cs="Google Sans" w:eastAsia="Google Sans" w:hAnsi="Google Sans"/>
            <w:color w:val="1f1f1f"/>
          </w:rPr>
          <m:t xml:space="preserve">Z&gt;2.99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«зеленая зона» (высокая финансовая устойчивость, низкий риск банкротства).</w:t>
      </w:r>
    </w:p>
    <w:p w:rsidR="00000000" w:rsidDel="00000000" w:rsidP="00000000" w:rsidRDefault="00000000" w:rsidRPr="00000000" w14:paraId="00000045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m:oMath>
        <m:r>
          <w:rPr>
            <w:rFonts w:ascii="Google Sans" w:cs="Google Sans" w:eastAsia="Google Sans" w:hAnsi="Google Sans"/>
            <w:color w:val="1f1f1f"/>
          </w:rPr>
          <m:t xml:space="preserve">1.81</m:t>
        </m:r>
        <m:r>
          <w:rPr>
            <w:rFonts w:ascii="Google Sans" w:cs="Google Sans" w:eastAsia="Google Sans" w:hAnsi="Google Sans"/>
            <w:color w:val="1f1f1f"/>
          </w:rPr>
          <m:t>≤</m:t>
        </m:r>
        <m:r>
          <w:rPr>
            <w:rFonts w:ascii="Google Sans" w:cs="Google Sans" w:eastAsia="Google Sans" w:hAnsi="Google Sans"/>
            <w:color w:val="1f1f1f"/>
          </w:rPr>
          <m:t xml:space="preserve">Z</m:t>
        </m:r>
        <m:r>
          <w:rPr>
            <w:rFonts w:ascii="Google Sans" w:cs="Google Sans" w:eastAsia="Google Sans" w:hAnsi="Google Sans"/>
            <w:color w:val="1f1f1f"/>
          </w:rPr>
          <m:t>≤</m:t>
        </m:r>
        <m:r>
          <w:rPr>
            <w:rFonts w:ascii="Google Sans" w:cs="Google Sans" w:eastAsia="Google Sans" w:hAnsi="Google Sans"/>
            <w:color w:val="1f1f1f"/>
          </w:rPr>
          <m:t xml:space="preserve">2.99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«серая зона» (неопределенная зона, умеренный риск).</w:t>
      </w:r>
    </w:p>
    <w:p w:rsidR="00000000" w:rsidDel="00000000" w:rsidP="00000000" w:rsidRDefault="00000000" w:rsidRPr="00000000" w14:paraId="0000004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m:oMath>
        <m:r>
          <w:rPr>
            <w:rFonts w:ascii="Google Sans" w:cs="Google Sans" w:eastAsia="Google Sans" w:hAnsi="Google Sans"/>
            <w:color w:val="1f1f1f"/>
          </w:rPr>
          <m:t xml:space="preserve">Z&lt;1.81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«красная зона» (высокая вероятность банкротства в течение 1–2 лет).</w:t>
      </w:r>
    </w:p>
    <w:p w:rsidR="00000000" w:rsidDel="00000000" w:rsidP="00000000" w:rsidRDefault="00000000" w:rsidRPr="00000000" w14:paraId="0000004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6. Управление дебиторской задолженностью как инструмент снижения кредитного риска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нефинансовых компаний ключевым элементом кредитного риска является управление дебиторской задолженностью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Accounts Receivable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 Эффективная корпоративная политика включает следующие инструменты:</w:t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Установление кредитных лимитов: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Ограничение максимального объема отгрузки товара в долг для каждого конкретного покупателя.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Диверсификация клиентской базы: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Предотвращение ситуации, при которой более $10-15\%$ выручки формируется за счет одного контрагента.</w:t>
      </w:r>
    </w:p>
    <w:p w:rsidR="00000000" w:rsidDel="00000000" w:rsidP="00000000" w:rsidRDefault="00000000" w:rsidRPr="00000000" w14:paraId="0000004B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Анализ старения дебиторской задолженности (Ageing Schedule):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Регулярный мониторинг сроков просрочки платежей.</w:t>
      </w:r>
    </w:p>
    <w:p w:rsidR="00000000" w:rsidDel="00000000" w:rsidP="00000000" w:rsidRDefault="00000000" w:rsidRPr="00000000" w14:paraId="0000004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Инструменты защиты платежей:</w:t>
      </w:r>
    </w:p>
    <w:p w:rsidR="00000000" w:rsidDel="00000000" w:rsidP="00000000" w:rsidRDefault="00000000" w:rsidRPr="00000000" w14:paraId="0000004D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Факторинг: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Переуступка права требования дебиторской задолженности финансовому агенту (банку) с дисконтом, перекладывающая кредитный риск на фактор.</w:t>
      </w:r>
    </w:p>
    <w:p w:rsidR="00000000" w:rsidDel="00000000" w:rsidP="00000000" w:rsidRDefault="00000000" w:rsidRPr="00000000" w14:paraId="0000004E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Аккредитивы и банковские гарантии: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Расчеты через банк, гарантирующие перевод средств продавцу только после подтверждения отгрузки.</w:t>
      </w:r>
    </w:p>
    <w:p w:rsidR="00000000" w:rsidDel="00000000" w:rsidP="00000000" w:rsidRDefault="00000000" w:rsidRPr="00000000" w14:paraId="0000004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7. Сравнительный анализ рыночного и кредитного рисков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Параметр сравнения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Рыночный риск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Кредитный риск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Основной источник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Колебания рыночных цен, курсов и ставок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Неплатежеспособность или дефолт контрагента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Характер проявления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Непрерывный (волатильность рынков)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Дискретный (наступление события дефолта)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Инструменты измерения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VaR, анализ чувствительности, стресс-тестирование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Кредитный скоринг, рейтинги, финансовые коэффициенты, Z-счет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b w:val="1"/>
                <w:bCs w:val="1"/>
                <w:color w:val="1f1f1f"/>
                <w:rtl w:val="0"/>
              </w:rPr>
              <w:t xml:space="preserve">Главные методы минимизации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Хеджирование (фьючерсы, опционы), диверсификация портфеля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Google Sans" w:cs="Google Sans" w:eastAsia="Google Sans" w:hAnsi="Google Sans"/>
                <w:color w:val="1f1f1f"/>
              </w:rPr>
            </w:pPr>
            <w:r w:rsidDel="00000000" w:rsidR="00000000" w:rsidRPr="00000000">
              <w:rPr>
                <w:rFonts w:ascii="Google Sans" w:cs="Google Sans" w:eastAsia="Google Sans" w:hAnsi="Google Sans"/>
                <w:color w:val="1f1f1f"/>
                <w:rtl w:val="0"/>
              </w:rPr>
              <w:t xml:space="preserve">Лимитирование, залоги, факторинг, аккредитивы</w:t>
            </w:r>
          </w:p>
        </w:tc>
      </w:tr>
    </w:tbl>
    <w:p w:rsidR="00000000" w:rsidDel="00000000" w:rsidP="00000000" w:rsidRDefault="00000000" w:rsidRPr="00000000" w14:paraId="0000005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8. Заключение</w:t>
      </w:r>
    </w:p>
    <w:p w:rsidR="00000000" w:rsidDel="00000000" w:rsidP="00000000" w:rsidRDefault="00000000" w:rsidRPr="00000000" w14:paraId="000000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Рыночные и кредитные риски составляют фундамент финансовых угроз любой организации. Рыночные риски требуют постоянного мониторинга волатильности цен и применения статистических моделей вроде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Value at Risk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в то время как кредитные риски контролируются через строгую оценку финансовой устойчивости контрагентов, расчет Z-счетов Альтмана и управление условиями расчетов.</w:t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 следующей лекции мы продолжим изучение финансовых рисков и рассмотрим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Риск ликвидности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управление кассовыми разрывами и стресс-тестирование баланса компании.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